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769C" w:rsidRDefault="003A769C" w:rsidP="003A769C">
      <w:pPr>
        <w:jc w:val="center"/>
        <w:rPr>
          <w:rtl/>
        </w:rPr>
      </w:pPr>
      <w:r>
        <w:drawing>
          <wp:inline distT="0" distB="0" distL="0" distR="0" wp14:anchorId="1B614CBF" wp14:editId="279A9AE5">
            <wp:extent cx="374015" cy="469265"/>
            <wp:effectExtent l="0" t="0" r="6985" b="6985"/>
            <wp:docPr id="2" name="Picture 1" descr="ישראל - המנורה - 2"/>
            <wp:cNvGraphicFramePr/>
            <a:graphic xmlns:a="http://schemas.openxmlformats.org/drawingml/2006/main">
              <a:graphicData uri="http://schemas.openxmlformats.org/drawingml/2006/picture">
                <pic:pic xmlns:pic="http://schemas.openxmlformats.org/drawingml/2006/picture">
                  <pic:nvPicPr>
                    <pic:cNvPr id="2" name="Picture 1" descr="ישראל - המנורה - 2"/>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306"/>
      </w:tblGrid>
      <w:tr w:rsidR="003A769C" w:rsidRPr="003A769C" w:rsidTr="003A769C">
        <w:trPr>
          <w:trHeight w:val="704"/>
          <w:jc w:val="center"/>
        </w:trPr>
        <w:sdt>
          <w:sdtPr>
            <w:rPr>
              <w:rFonts w:ascii="Tahoma" w:hAnsi="Tahoma"/>
              <w:color w:val="000080"/>
              <w:sz w:val="32"/>
              <w:szCs w:val="32"/>
              <w:rtl/>
            </w:rPr>
            <w:alias w:val="1174"/>
            <w:tag w:val="1174"/>
            <w:id w:val="-1585920285"/>
            <w:text w:multiLine="1"/>
          </w:sdtPr>
          <w:sdtEndPr/>
          <w:sdtContent>
            <w:tc>
              <w:tcPr>
                <w:tcW w:w="8505" w:type="dxa"/>
                <w:hideMark/>
              </w:tcPr>
              <w:p w:rsidR="003A769C" w:rsidRPr="003A769C" w:rsidRDefault="003A769C" w:rsidP="003A769C">
                <w:pPr>
                  <w:tabs>
                    <w:tab w:val="center" w:pos="4153"/>
                    <w:tab w:val="right" w:pos="8306"/>
                  </w:tabs>
                  <w:jc w:val="center"/>
                  <w:rPr>
                    <w:rFonts w:ascii="Tahoma" w:hAnsi="Tahoma"/>
                    <w:color w:val="000080"/>
                    <w:sz w:val="32"/>
                    <w:szCs w:val="32"/>
                  </w:rPr>
                </w:pPr>
                <w:r w:rsidRPr="003A769C">
                  <w:rPr>
                    <w:rFonts w:ascii="Tahoma" w:hAnsi="Tahoma"/>
                    <w:color w:val="000080"/>
                    <w:sz w:val="32"/>
                    <w:szCs w:val="32"/>
                    <w:rtl/>
                  </w:rPr>
                  <w:t>בית משפט לענייני משפחה בקריות</w:t>
                </w:r>
              </w:p>
            </w:tc>
          </w:sdtContent>
        </w:sdt>
      </w:tr>
      <w:tr w:rsidR="003A769C" w:rsidRPr="003A769C" w:rsidTr="003A769C">
        <w:trPr>
          <w:trHeight w:val="337"/>
          <w:jc w:val="center"/>
        </w:trPr>
        <w:tc>
          <w:tcPr>
            <w:tcW w:w="8505" w:type="dxa"/>
          </w:tcPr>
          <w:p w:rsidR="003A769C" w:rsidRPr="003A769C" w:rsidRDefault="00457558" w:rsidP="003A769C">
            <w:pPr>
              <w:rPr>
                <w:b/>
                <w:bCs/>
                <w:noProof w:val="0"/>
                <w:sz w:val="26"/>
                <w:szCs w:val="26"/>
                <w:rtl/>
              </w:rPr>
            </w:pPr>
            <w:sdt>
              <w:sdtPr>
                <w:rPr>
                  <w:rtl/>
                </w:rPr>
                <w:alias w:val="1170"/>
                <w:tag w:val="1170"/>
                <w:id w:val="1066377040"/>
                <w:text w:multiLine="1"/>
              </w:sdtPr>
              <w:sdtEndPr/>
              <w:sdtContent>
                <w:r w:rsidR="003A769C" w:rsidRPr="003A769C">
                  <w:rPr>
                    <w:rtl/>
                  </w:rPr>
                  <w:t>תמ"ש</w:t>
                </w:r>
              </w:sdtContent>
            </w:sdt>
            <w:r w:rsidR="003A769C" w:rsidRPr="003A769C">
              <w:rPr>
                <w:b/>
                <w:bCs/>
                <w:noProof w:val="0"/>
                <w:sz w:val="26"/>
                <w:szCs w:val="26"/>
                <w:rtl/>
              </w:rPr>
              <w:t xml:space="preserve"> </w:t>
            </w:r>
            <w:bookmarkStart w:id="0" w:name="_GoBack"/>
            <w:sdt>
              <w:sdtPr>
                <w:rPr>
                  <w:rtl/>
                </w:rPr>
                <w:alias w:val="1171"/>
                <w:tag w:val="1171"/>
                <w:id w:val="257034231"/>
                <w:text w:multiLine="1"/>
              </w:sdtPr>
              <w:sdtEndPr/>
              <w:sdtContent>
                <w:r w:rsidR="003A769C" w:rsidRPr="003A769C">
                  <w:rPr>
                    <w:rtl/>
                  </w:rPr>
                  <w:t>2242-11-23</w:t>
                </w:r>
              </w:sdtContent>
            </w:sdt>
            <w:bookmarkEnd w:id="0"/>
            <w:r w:rsidR="003A769C" w:rsidRPr="003A769C">
              <w:rPr>
                <w:b/>
                <w:bCs/>
                <w:noProof w:val="0"/>
                <w:sz w:val="26"/>
                <w:szCs w:val="26"/>
                <w:rtl/>
              </w:rPr>
              <w:t xml:space="preserve"> </w:t>
            </w:r>
            <w:sdt>
              <w:sdtPr>
                <w:rPr>
                  <w:rtl/>
                </w:rPr>
                <w:alias w:val="1172"/>
                <w:tag w:val="1172"/>
                <w:id w:val="-595170033"/>
                <w:text w:multiLine="1"/>
              </w:sdtPr>
              <w:sdtEndPr/>
              <w:sdtContent/>
            </w:sdt>
          </w:p>
          <w:p w:rsidR="003A769C" w:rsidRPr="003A769C" w:rsidRDefault="003A769C" w:rsidP="003A769C">
            <w:pPr>
              <w:rPr>
                <w:b/>
                <w:bCs/>
                <w:noProof w:val="0"/>
                <w:sz w:val="2"/>
                <w:szCs w:val="2"/>
                <w:rtl/>
              </w:rPr>
            </w:pPr>
          </w:p>
          <w:p w:rsidR="003A769C" w:rsidRPr="003A769C" w:rsidRDefault="003A769C" w:rsidP="003A769C">
            <w:pPr>
              <w:rPr>
                <w:sz w:val="20"/>
                <w:szCs w:val="20"/>
                <w:rtl/>
              </w:rPr>
            </w:pPr>
            <w:r w:rsidRPr="003A769C">
              <w:rPr>
                <w:rtl/>
              </w:rPr>
              <w:t xml:space="preserve">                           </w:t>
            </w:r>
            <w:r w:rsidRPr="003A769C">
              <w:rPr>
                <w:sz w:val="20"/>
                <w:szCs w:val="20"/>
                <w:rtl/>
              </w:rPr>
              <w:t xml:space="preserve">                                       </w:t>
            </w:r>
          </w:p>
        </w:tc>
      </w:tr>
    </w:tbl>
    <w:p w:rsidR="003A769C" w:rsidRPr="003A769C" w:rsidRDefault="003A769C" w:rsidP="003A769C">
      <w:pPr>
        <w:jc w:val="center"/>
        <w:rPr>
          <w:rtl/>
        </w:rPr>
      </w:pPr>
    </w:p>
    <w:p w:rsidR="003A769C" w:rsidRDefault="003A769C"/>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4F545C" w:rsidTr="00E4541A">
        <w:trPr>
          <w:jc w:val="center"/>
        </w:trPr>
        <w:tc>
          <w:tcPr>
            <w:tcW w:w="743" w:type="dxa"/>
          </w:tcPr>
          <w:p w:rsidR="004F545C" w:rsidRDefault="004F545C" w:rsidP="00E4541A">
            <w:pPr>
              <w:suppressLineNumbers/>
              <w:jc w:val="both"/>
              <w:rPr>
                <w:rFonts w:ascii="Arial" w:hAnsi="Arial"/>
                <w:b/>
                <w:bCs/>
                <w:rtl/>
              </w:rPr>
            </w:pPr>
            <w:r>
              <w:rPr>
                <w:rFonts w:ascii="Arial" w:hAnsi="Arial" w:hint="cs"/>
                <w:b/>
                <w:bCs/>
                <w:rtl/>
              </w:rPr>
              <w:t>ל</w:t>
            </w:r>
            <w:r>
              <w:rPr>
                <w:rFonts w:ascii="Arial" w:hAnsi="Arial"/>
                <w:b/>
                <w:bCs/>
                <w:rtl/>
              </w:rPr>
              <w:t xml:space="preserve">פני </w:t>
            </w:r>
          </w:p>
        </w:tc>
        <w:tc>
          <w:tcPr>
            <w:tcW w:w="8077" w:type="dxa"/>
            <w:gridSpan w:val="2"/>
          </w:tcPr>
          <w:p w:rsidR="004F545C" w:rsidRDefault="004F545C" w:rsidP="00E4541A">
            <w:pPr>
              <w:suppressLineNumbers/>
              <w:rPr>
                <w:rFonts w:ascii="Arial" w:hAnsi="Arial"/>
                <w:b/>
                <w:bCs/>
                <w:rtl/>
              </w:rPr>
            </w:pPr>
            <w:r>
              <w:rPr>
                <w:rFonts w:ascii="Arial" w:hAnsi="Arial" w:hint="cs"/>
                <w:b/>
                <w:bCs/>
                <w:rtl/>
              </w:rPr>
              <w:t>כבוד ה</w:t>
            </w:r>
            <w:sdt>
              <w:sdtPr>
                <w:rPr>
                  <w:rtl/>
                </w:rPr>
                <w:alias w:val="1574"/>
                <w:tag w:val="1574"/>
                <w:id w:val="414602899"/>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751030614"/>
                <w:text w:multiLine="1"/>
              </w:sdtPr>
              <w:sdtEndPr/>
              <w:sdtContent>
                <w:r>
                  <w:rPr>
                    <w:rFonts w:ascii="Arial" w:hAnsi="Arial"/>
                    <w:b/>
                    <w:bCs/>
                    <w:rtl/>
                  </w:rPr>
                  <w:t>ליאת דהן חיון</w:t>
                </w:r>
              </w:sdtContent>
            </w:sdt>
          </w:p>
          <w:p w:rsidR="004F545C" w:rsidRDefault="004F545C" w:rsidP="00E4541A">
            <w:pPr>
              <w:suppressLineNumbers/>
              <w:rPr>
                <w:rFonts w:ascii="Arial" w:hAnsi="Arial" w:cs="FrankRuehl"/>
                <w:sz w:val="28"/>
                <w:szCs w:val="28"/>
                <w:highlight w:val="yellow"/>
              </w:rPr>
            </w:pPr>
          </w:p>
        </w:tc>
      </w:tr>
      <w:tr w:rsidR="004F545C" w:rsidTr="00E4541A">
        <w:trPr>
          <w:jc w:val="center"/>
        </w:trPr>
        <w:tc>
          <w:tcPr>
            <w:tcW w:w="3249" w:type="dxa"/>
            <w:gridSpan w:val="2"/>
          </w:tcPr>
          <w:p w:rsidR="004F545C" w:rsidRDefault="004F545C" w:rsidP="00E4541A">
            <w:pPr>
              <w:suppressLineNumbers/>
              <w:rPr>
                <w:rFonts w:ascii="Arial" w:hAnsi="Arial"/>
                <w:b/>
                <w:bCs/>
                <w:noProof w:val="0"/>
                <w:sz w:val="26"/>
                <w:szCs w:val="26"/>
              </w:rPr>
            </w:pPr>
          </w:p>
          <w:sdt>
            <w:sdtPr>
              <w:rPr>
                <w:rtl/>
              </w:rPr>
              <w:alias w:val="1180"/>
              <w:tag w:val="1180"/>
              <w:id w:val="637458750"/>
              <w:text w:multiLine="1"/>
            </w:sdtPr>
            <w:sdtEndPr/>
            <w:sdtContent>
              <w:p w:rsidR="004F545C" w:rsidRDefault="004F545C" w:rsidP="00E4541A">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4F545C" w:rsidRDefault="004F545C" w:rsidP="00E4541A">
            <w:pPr>
              <w:suppressLineNumbers/>
              <w:rPr>
                <w:b/>
                <w:bCs/>
                <w:noProof w:val="0"/>
                <w:sz w:val="26"/>
                <w:szCs w:val="26"/>
              </w:rPr>
            </w:pPr>
            <w:r>
              <w:rPr>
                <w:rFonts w:hint="cs"/>
                <w:b/>
                <w:bCs/>
                <w:noProof w:val="0"/>
                <w:sz w:val="26"/>
                <w:szCs w:val="26"/>
                <w:rtl/>
              </w:rPr>
              <w:t>פלונית</w:t>
            </w:r>
          </w:p>
        </w:tc>
      </w:tr>
      <w:tr w:rsidR="004F545C" w:rsidTr="00E4541A">
        <w:trPr>
          <w:jc w:val="center"/>
        </w:trPr>
        <w:tc>
          <w:tcPr>
            <w:tcW w:w="8820" w:type="dxa"/>
            <w:gridSpan w:val="3"/>
          </w:tcPr>
          <w:p w:rsidR="004F545C" w:rsidRDefault="004F545C" w:rsidP="00E4541A">
            <w:pPr>
              <w:suppressLineNumbers/>
              <w:rPr>
                <w:rFonts w:ascii="Arial" w:hAnsi="Arial"/>
                <w:b/>
                <w:bCs/>
                <w:noProof w:val="0"/>
                <w:sz w:val="26"/>
                <w:szCs w:val="26"/>
                <w:rtl/>
              </w:rPr>
            </w:pPr>
          </w:p>
          <w:p w:rsidR="004F545C" w:rsidRDefault="004F545C" w:rsidP="00E4541A">
            <w:pPr>
              <w:suppressLineNumbers/>
              <w:jc w:val="center"/>
              <w:rPr>
                <w:rFonts w:ascii="Arial" w:hAnsi="Arial"/>
                <w:b/>
                <w:bCs/>
                <w:noProof w:val="0"/>
                <w:sz w:val="26"/>
                <w:szCs w:val="26"/>
                <w:rtl/>
              </w:rPr>
            </w:pPr>
            <w:r>
              <w:rPr>
                <w:rFonts w:ascii="Arial" w:hAnsi="Arial"/>
                <w:b/>
                <w:bCs/>
                <w:noProof w:val="0"/>
                <w:sz w:val="26"/>
                <w:szCs w:val="26"/>
                <w:rtl/>
              </w:rPr>
              <w:t>נגד</w:t>
            </w:r>
          </w:p>
          <w:p w:rsidR="004F545C" w:rsidRDefault="004F545C" w:rsidP="00E4541A">
            <w:pPr>
              <w:suppressLineNumbers/>
              <w:rPr>
                <w:rFonts w:ascii="Arial" w:hAnsi="Arial"/>
                <w:b/>
                <w:bCs/>
                <w:noProof w:val="0"/>
                <w:sz w:val="26"/>
                <w:szCs w:val="26"/>
              </w:rPr>
            </w:pPr>
          </w:p>
        </w:tc>
      </w:tr>
      <w:tr w:rsidR="004F545C" w:rsidTr="00E4541A">
        <w:trPr>
          <w:jc w:val="center"/>
        </w:trPr>
        <w:tc>
          <w:tcPr>
            <w:tcW w:w="3249" w:type="dxa"/>
            <w:gridSpan w:val="2"/>
          </w:tcPr>
          <w:p w:rsidR="004F545C" w:rsidRDefault="00457558" w:rsidP="00E4541A">
            <w:pPr>
              <w:suppressLineNumbers/>
              <w:rPr>
                <w:rFonts w:ascii="Arial" w:hAnsi="Arial"/>
                <w:b/>
                <w:bCs/>
                <w:noProof w:val="0"/>
                <w:sz w:val="26"/>
                <w:szCs w:val="26"/>
              </w:rPr>
            </w:pPr>
            <w:sdt>
              <w:sdtPr>
                <w:rPr>
                  <w:rtl/>
                </w:rPr>
                <w:alias w:val="1184"/>
                <w:tag w:val="1184"/>
                <w:id w:val="-340621022"/>
                <w:text w:multiLine="1"/>
              </w:sdtPr>
              <w:sdtEndPr/>
              <w:sdtContent>
                <w:r w:rsidR="004F545C">
                  <w:rPr>
                    <w:rFonts w:ascii="Arial" w:hAnsi="Arial"/>
                    <w:b/>
                    <w:bCs/>
                    <w:noProof w:val="0"/>
                    <w:sz w:val="26"/>
                    <w:szCs w:val="26"/>
                    <w:rtl/>
                  </w:rPr>
                  <w:t>נתבעים</w:t>
                </w:r>
              </w:sdtContent>
            </w:sdt>
          </w:p>
        </w:tc>
        <w:tc>
          <w:tcPr>
            <w:tcW w:w="5571" w:type="dxa"/>
          </w:tcPr>
          <w:p w:rsidR="004F545C" w:rsidRPr="00E54CD9" w:rsidRDefault="004F545C" w:rsidP="00E4541A">
            <w:pPr>
              <w:suppressLineNumbers/>
              <w:rPr>
                <w:rFonts w:ascii="Arial" w:hAnsi="Arial"/>
                <w:b/>
                <w:bCs/>
                <w:noProof w:val="0"/>
                <w:sz w:val="26"/>
                <w:szCs w:val="26"/>
                <w:rtl/>
              </w:rPr>
            </w:pPr>
            <w:r>
              <w:rPr>
                <w:rFonts w:hint="cs"/>
                <w:rtl/>
              </w:rPr>
              <w:t xml:space="preserve">פלוני </w:t>
            </w:r>
          </w:p>
          <w:p w:rsidR="004F545C" w:rsidRPr="00E54CD9" w:rsidRDefault="00457558" w:rsidP="00E4541A">
            <w:pPr>
              <w:suppressLineNumbers/>
              <w:rPr>
                <w:rFonts w:ascii="Arial" w:hAnsi="Arial"/>
                <w:b/>
                <w:bCs/>
                <w:noProof w:val="0"/>
                <w:sz w:val="26"/>
                <w:szCs w:val="26"/>
                <w:rtl/>
              </w:rPr>
            </w:pPr>
            <w:sdt>
              <w:sdtPr>
                <w:rPr>
                  <w:rtl/>
                </w:rPr>
                <w:alias w:val="1571"/>
                <w:tag w:val="1571"/>
                <w:id w:val="1034615130"/>
                <w:text w:multiLine="1"/>
              </w:sdtPr>
              <w:sdtEndPr/>
              <w:sdtContent>
                <w:r w:rsidR="004F545C">
                  <w:rPr>
                    <w:rFonts w:ascii="Arial" w:hAnsi="Arial"/>
                    <w:b/>
                    <w:bCs/>
                    <w:noProof w:val="0"/>
                    <w:sz w:val="26"/>
                    <w:szCs w:val="26"/>
                    <w:rtl/>
                  </w:rPr>
                  <w:t>2</w:t>
                </w:r>
              </w:sdtContent>
            </w:sdt>
            <w:r w:rsidR="004F545C">
              <w:rPr>
                <w:rFonts w:ascii="Arial" w:hAnsi="Arial"/>
                <w:b/>
                <w:bCs/>
                <w:noProof w:val="0"/>
                <w:sz w:val="26"/>
                <w:szCs w:val="26"/>
                <w:rtl/>
              </w:rPr>
              <w:t>.</w:t>
            </w:r>
            <w:r w:rsidR="004F545C">
              <w:rPr>
                <w:rFonts w:ascii="Arial" w:hAnsi="Arial" w:hint="cs"/>
                <w:b/>
                <w:bCs/>
                <w:noProof w:val="0"/>
                <w:sz w:val="26"/>
                <w:szCs w:val="26"/>
                <w:rtl/>
              </w:rPr>
              <w:t xml:space="preserve"> </w:t>
            </w:r>
            <w:sdt>
              <w:sdtPr>
                <w:rPr>
                  <w:rtl/>
                </w:rPr>
                <w:alias w:val="1486"/>
                <w:tag w:val="1486"/>
                <w:id w:val="-1706320833"/>
                <w:text w:multiLine="1"/>
              </w:sdtPr>
              <w:sdtEndPr/>
              <w:sdtContent>
                <w:r w:rsidR="004F545C">
                  <w:rPr>
                    <w:rFonts w:ascii="Arial" w:hAnsi="Arial"/>
                    <w:b/>
                    <w:bCs/>
                    <w:noProof w:val="0"/>
                    <w:sz w:val="26"/>
                    <w:szCs w:val="26"/>
                    <w:rtl/>
                  </w:rPr>
                  <w:t>היועץ המשפטי לממשלה</w:t>
                </w:r>
              </w:sdtContent>
            </w:sdt>
            <w:r w:rsidR="004F545C">
              <w:rPr>
                <w:rFonts w:hint="cs"/>
                <w:rtl/>
              </w:rPr>
              <w:t xml:space="preserve"> </w:t>
            </w:r>
            <w:sdt>
              <w:sdtPr>
                <w:rPr>
                  <w:rFonts w:ascii="Arial" w:hAnsi="Arial" w:hint="cs"/>
                  <w:b/>
                  <w:bCs/>
                  <w:noProof w:val="0"/>
                  <w:sz w:val="26"/>
                  <w:szCs w:val="26"/>
                  <w:rtl/>
                </w:rPr>
                <w:alias w:val="2317"/>
                <w:tag w:val="2317"/>
                <w:id w:val="1906183095"/>
                <w:placeholder>
                  <w:docPart w:val="F1E2156BF52A44AA8196D9EB450AEF69"/>
                </w:placeholder>
                <w:text w:multiLine="1"/>
              </w:sdtPr>
              <w:sdtEndPr/>
              <w:sdtContent>
                <w:r w:rsidR="004F545C">
                  <w:rPr>
                    <w:rFonts w:ascii="Arial" w:hAnsi="Arial" w:hint="eastAsia"/>
                    <w:b/>
                    <w:bCs/>
                    <w:noProof w:val="0"/>
                    <w:sz w:val="26"/>
                    <w:szCs w:val="26"/>
                    <w:rtl/>
                  </w:rPr>
                  <w:t>משרדי ממשלה</w:t>
                </w:r>
              </w:sdtContent>
            </w:sdt>
            <w:r w:rsidR="004F545C" w:rsidRPr="00E54CD9">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119447825"/>
                <w:lock w:val="contentLocked"/>
                <w:placeholder>
                  <w:docPart w:val="ACA932E349D34D8B8888DE83F34D3888"/>
                </w:placeholder>
                <w:text w:multiLine="1"/>
              </w:sdtPr>
              <w:sdtEndPr/>
              <w:sdtContent>
                <w:r w:rsidR="004F545C">
                  <w:rPr>
                    <w:rFonts w:ascii="Arial" w:hAnsi="Arial" w:hint="eastAsia"/>
                    <w:b/>
                    <w:bCs/>
                    <w:noProof w:val="0"/>
                    <w:sz w:val="26"/>
                    <w:szCs w:val="26"/>
                    <w:rtl/>
                  </w:rPr>
                  <w:t>513442037</w:t>
                </w:r>
              </w:sdtContent>
            </w:sdt>
          </w:p>
        </w:tc>
      </w:tr>
    </w:tbl>
    <w:p w:rsidR="004F545C" w:rsidRDefault="004F545C" w:rsidP="004F545C">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4F545C" w:rsidRPr="00DE1E7D" w:rsidTr="00E4541A">
        <w:trPr>
          <w:jc w:val="center"/>
        </w:trPr>
        <w:tc>
          <w:tcPr>
            <w:tcW w:w="8820" w:type="dxa"/>
          </w:tcPr>
          <w:p w:rsidR="004F545C" w:rsidRDefault="004F545C" w:rsidP="00E4541A">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4F545C" w:rsidRPr="00D44968" w:rsidRDefault="004F545C" w:rsidP="00E4541A">
            <w:pPr>
              <w:bidi w:val="0"/>
              <w:jc w:val="center"/>
              <w:rPr>
                <w:rFonts w:ascii="Arial" w:hAnsi="Arial"/>
                <w:b/>
                <w:bCs/>
                <w:noProof w:val="0"/>
                <w:sz w:val="28"/>
                <w:szCs w:val="28"/>
                <w:u w:val="single"/>
              </w:rPr>
            </w:pPr>
          </w:p>
        </w:tc>
      </w:tr>
    </w:tbl>
    <w:p w:rsidR="004F545C" w:rsidRPr="00DE1E7D" w:rsidRDefault="004F545C" w:rsidP="004F545C">
      <w:pPr>
        <w:spacing w:line="360" w:lineRule="auto"/>
        <w:jc w:val="both"/>
        <w:rPr>
          <w:rFonts w:ascii="Arial" w:hAnsi="Arial"/>
          <w:noProof w:val="0"/>
          <w:rtl/>
        </w:rPr>
      </w:pPr>
      <w:bookmarkStart w:id="1" w:name="NGCSBookmark"/>
      <w:bookmarkEnd w:id="1"/>
    </w:p>
    <w:p w:rsidR="004F545C" w:rsidRDefault="004F545C" w:rsidP="004F545C">
      <w:pPr>
        <w:spacing w:line="360" w:lineRule="auto"/>
        <w:jc w:val="both"/>
        <w:rPr>
          <w:rFonts w:ascii="Arial" w:hAnsi="Arial"/>
          <w:noProof w:val="0"/>
          <w:rtl/>
        </w:rPr>
      </w:pPr>
      <w:r>
        <w:rPr>
          <w:rFonts w:ascii="Arial" w:hAnsi="Arial" w:hint="cs"/>
          <w:noProof w:val="0"/>
          <w:rtl/>
        </w:rPr>
        <w:t>לפניי בקשת הנתבע 1 לעיון מחדש בהחלטה מסגרתה הופנו הצדדים לבדיקת אבהות. לאחר שעיינתי בבקשה מצאתי לדחותה. אנמק;</w:t>
      </w:r>
    </w:p>
    <w:p w:rsidR="004F545C" w:rsidRDefault="004F545C" w:rsidP="004F545C">
      <w:pPr>
        <w:spacing w:line="360" w:lineRule="auto"/>
        <w:jc w:val="both"/>
        <w:rPr>
          <w:rFonts w:ascii="Arial" w:hAnsi="Arial"/>
          <w:noProof w:val="0"/>
          <w:rtl/>
        </w:rPr>
      </w:pPr>
    </w:p>
    <w:p w:rsidR="004F545C" w:rsidRDefault="004F545C" w:rsidP="004F545C">
      <w:pPr>
        <w:pStyle w:val="a4"/>
        <w:numPr>
          <w:ilvl w:val="0"/>
          <w:numId w:val="1"/>
        </w:numPr>
        <w:spacing w:line="360" w:lineRule="auto"/>
        <w:jc w:val="both"/>
        <w:rPr>
          <w:rFonts w:ascii="David" w:hAnsi="David"/>
          <w:noProof w:val="0"/>
        </w:rPr>
      </w:pPr>
      <w:r>
        <w:rPr>
          <w:rFonts w:ascii="David" w:hAnsi="David" w:hint="cs"/>
          <w:noProof w:val="0"/>
          <w:rtl/>
        </w:rPr>
        <w:t>הליך זה שלפניי עניינו בהכרת אבהות. לאחר שנתקבלה תגובת המשיב 2, ניתנה ביום 18.3.24 החלטתי, מסגרתה הופנו הצדדים והקטין לבדיקת אבהות במעבדה לבדיקת רקמות בבית החולים *** (</w:t>
      </w:r>
      <w:proofErr w:type="spellStart"/>
      <w:r>
        <w:rPr>
          <w:rFonts w:ascii="David" w:hAnsi="David" w:hint="cs"/>
          <w:noProof w:val="0"/>
          <w:rtl/>
        </w:rPr>
        <w:t>להלן:</w:t>
      </w:r>
      <w:r w:rsidRPr="00F87344">
        <w:rPr>
          <w:rFonts w:ascii="David" w:hAnsi="David" w:hint="cs"/>
          <w:b/>
          <w:bCs/>
          <w:noProof w:val="0"/>
          <w:rtl/>
        </w:rPr>
        <w:t>"ההחלטה</w:t>
      </w:r>
      <w:proofErr w:type="spellEnd"/>
      <w:r w:rsidRPr="00F87344">
        <w:rPr>
          <w:rFonts w:ascii="David" w:hAnsi="David" w:hint="cs"/>
          <w:b/>
          <w:bCs/>
          <w:noProof w:val="0"/>
          <w:rtl/>
        </w:rPr>
        <w:t>"</w:t>
      </w:r>
      <w:r>
        <w:rPr>
          <w:rFonts w:ascii="David" w:hAnsi="David" w:hint="cs"/>
          <w:noProof w:val="0"/>
          <w:rtl/>
        </w:rPr>
        <w:t xml:space="preserve">). הנתבע עותר לעיון מחדש בהחלטה, בין היתר בטענה כי בית המשפט כאן נעדר סמכות מקומית לדון בהליך וזאת בהתאם להסכם שנחתם בין הצדדים. כמו כן, לטענתו, כתב התביעה לא הומצא לידיו כדין, ומשכך, יש להורות לתובעת להמציאו לדין ולהתיר לו להגיש כתב הגנה בטרם מתן כל החלטה. </w:t>
      </w:r>
    </w:p>
    <w:p w:rsidR="004F545C" w:rsidRPr="00F506A4" w:rsidRDefault="004F545C" w:rsidP="004F545C">
      <w:pPr>
        <w:pStyle w:val="a4"/>
        <w:spacing w:line="360" w:lineRule="auto"/>
        <w:ind w:left="360"/>
        <w:jc w:val="both"/>
        <w:rPr>
          <w:rFonts w:ascii="David" w:hAnsi="David"/>
          <w:noProof w:val="0"/>
        </w:rPr>
      </w:pPr>
    </w:p>
    <w:p w:rsidR="004F545C" w:rsidRDefault="004F545C" w:rsidP="004F545C">
      <w:pPr>
        <w:pStyle w:val="a4"/>
        <w:numPr>
          <w:ilvl w:val="0"/>
          <w:numId w:val="1"/>
        </w:numPr>
        <w:spacing w:line="360" w:lineRule="auto"/>
        <w:jc w:val="both"/>
        <w:rPr>
          <w:rFonts w:ascii="David" w:hAnsi="David"/>
          <w:noProof w:val="0"/>
        </w:rPr>
      </w:pPr>
      <w:r>
        <w:rPr>
          <w:rFonts w:ascii="David" w:hAnsi="David" w:hint="cs"/>
          <w:noProof w:val="0"/>
          <w:rtl/>
        </w:rPr>
        <w:t xml:space="preserve">התובעת מתנגדת לבקשה, ומבססת את עיקר התנגדותה על תוקפו של ההסכם.  </w:t>
      </w:r>
    </w:p>
    <w:p w:rsidR="004F545C" w:rsidRPr="00F506A4" w:rsidRDefault="004F545C" w:rsidP="004F545C">
      <w:pPr>
        <w:pStyle w:val="a4"/>
        <w:rPr>
          <w:rFonts w:ascii="David" w:hAnsi="David"/>
          <w:noProof w:val="0"/>
          <w:rtl/>
        </w:rPr>
      </w:pPr>
    </w:p>
    <w:p w:rsidR="004F545C" w:rsidRDefault="004F545C" w:rsidP="004F545C">
      <w:pPr>
        <w:pStyle w:val="a4"/>
        <w:numPr>
          <w:ilvl w:val="0"/>
          <w:numId w:val="1"/>
        </w:numPr>
        <w:spacing w:line="360" w:lineRule="auto"/>
        <w:jc w:val="both"/>
        <w:rPr>
          <w:rFonts w:ascii="David" w:hAnsi="David"/>
          <w:noProof w:val="0"/>
        </w:rPr>
      </w:pPr>
      <w:r>
        <w:rPr>
          <w:rFonts w:ascii="David" w:hAnsi="David"/>
          <w:noProof w:val="0"/>
          <w:rtl/>
        </w:rPr>
        <w:t>אף מבלי שאדרש לטענות ה</w:t>
      </w:r>
      <w:r>
        <w:rPr>
          <w:rFonts w:ascii="David" w:hAnsi="David" w:hint="cs"/>
          <w:noProof w:val="0"/>
          <w:rtl/>
        </w:rPr>
        <w:t xml:space="preserve">צדדים </w:t>
      </w:r>
      <w:r w:rsidRPr="001F1407">
        <w:rPr>
          <w:rFonts w:ascii="David" w:hAnsi="David"/>
          <w:noProof w:val="0"/>
          <w:rtl/>
        </w:rPr>
        <w:t xml:space="preserve">בדבר </w:t>
      </w:r>
      <w:r>
        <w:rPr>
          <w:rFonts w:ascii="David" w:hAnsi="David"/>
          <w:noProof w:val="0"/>
          <w:rtl/>
        </w:rPr>
        <w:t>תוקפו של ההסכם שנחת</w:t>
      </w:r>
      <w:r>
        <w:rPr>
          <w:rFonts w:ascii="David" w:hAnsi="David" w:hint="cs"/>
          <w:noProof w:val="0"/>
          <w:rtl/>
        </w:rPr>
        <w:t>ם</w:t>
      </w:r>
      <w:r>
        <w:rPr>
          <w:rFonts w:ascii="David" w:hAnsi="David"/>
          <w:noProof w:val="0"/>
          <w:rtl/>
        </w:rPr>
        <w:t xml:space="preserve"> </w:t>
      </w:r>
      <w:r>
        <w:rPr>
          <w:rFonts w:ascii="David" w:hAnsi="David" w:hint="cs"/>
          <w:noProof w:val="0"/>
          <w:rtl/>
        </w:rPr>
        <w:t>ביניה</w:t>
      </w:r>
      <w:r>
        <w:rPr>
          <w:rFonts w:ascii="David" w:hAnsi="David" w:hint="eastAsia"/>
          <w:noProof w:val="0"/>
          <w:rtl/>
        </w:rPr>
        <w:t>ם</w:t>
      </w:r>
      <w:r w:rsidRPr="001F1407">
        <w:rPr>
          <w:rFonts w:ascii="David" w:hAnsi="David"/>
          <w:noProof w:val="0"/>
          <w:rtl/>
        </w:rPr>
        <w:t>,</w:t>
      </w:r>
      <w:r>
        <w:rPr>
          <w:rFonts w:ascii="David" w:hAnsi="David" w:hint="cs"/>
          <w:noProof w:val="0"/>
          <w:rtl/>
        </w:rPr>
        <w:t xml:space="preserve"> </w:t>
      </w:r>
      <w:r w:rsidRPr="001F1407">
        <w:rPr>
          <w:rFonts w:ascii="David" w:hAnsi="David"/>
          <w:noProof w:val="0"/>
          <w:rtl/>
        </w:rPr>
        <w:t>בניגוד לנטען ע"י הנתבע, בהליך ה</w:t>
      </w:r>
      <w:r>
        <w:rPr>
          <w:rFonts w:ascii="David" w:hAnsi="David" w:hint="cs"/>
          <w:noProof w:val="0"/>
          <w:rtl/>
        </w:rPr>
        <w:t>מ</w:t>
      </w:r>
      <w:r w:rsidRPr="001F1407">
        <w:rPr>
          <w:rFonts w:ascii="David" w:hAnsi="David"/>
          <w:noProof w:val="0"/>
          <w:rtl/>
        </w:rPr>
        <w:t>תברר לפני בית המשפט לענייני משפחה</w:t>
      </w:r>
      <w:r>
        <w:rPr>
          <w:rFonts w:ascii="David" w:hAnsi="David" w:hint="cs"/>
          <w:noProof w:val="0"/>
          <w:rtl/>
        </w:rPr>
        <w:t xml:space="preserve">, בשונה מהליך אזרחי המתנהל לפני בית משפט שלום, </w:t>
      </w:r>
      <w:r w:rsidRPr="001F1407">
        <w:rPr>
          <w:rFonts w:ascii="David" w:hAnsi="David"/>
          <w:noProof w:val="0"/>
          <w:rtl/>
        </w:rPr>
        <w:t>לא ניתן להתנו</w:t>
      </w:r>
      <w:r>
        <w:rPr>
          <w:rFonts w:ascii="David" w:hAnsi="David"/>
          <w:noProof w:val="0"/>
          <w:rtl/>
        </w:rPr>
        <w:t>ת על ה</w:t>
      </w:r>
      <w:r>
        <w:rPr>
          <w:rFonts w:ascii="David" w:hAnsi="David" w:hint="cs"/>
          <w:noProof w:val="0"/>
          <w:rtl/>
        </w:rPr>
        <w:t>וראות ה</w:t>
      </w:r>
      <w:r>
        <w:rPr>
          <w:rFonts w:ascii="David" w:hAnsi="David"/>
          <w:noProof w:val="0"/>
          <w:rtl/>
        </w:rPr>
        <w:t>חוק הקובע</w:t>
      </w:r>
      <w:r>
        <w:rPr>
          <w:rFonts w:ascii="David" w:hAnsi="David" w:hint="cs"/>
          <w:noProof w:val="0"/>
          <w:rtl/>
        </w:rPr>
        <w:t>ות</w:t>
      </w:r>
      <w:r>
        <w:rPr>
          <w:rFonts w:ascii="David" w:hAnsi="David"/>
          <w:noProof w:val="0"/>
          <w:rtl/>
        </w:rPr>
        <w:t xml:space="preserve"> את מקום השיפוט</w:t>
      </w:r>
      <w:r>
        <w:rPr>
          <w:rFonts w:ascii="David" w:hAnsi="David" w:hint="cs"/>
          <w:noProof w:val="0"/>
          <w:rtl/>
        </w:rPr>
        <w:t xml:space="preserve">, לרבות בהסכם בין צדדים. </w:t>
      </w:r>
      <w:r w:rsidRPr="001F1407">
        <w:rPr>
          <w:rFonts w:ascii="David" w:hAnsi="David"/>
          <w:rtl/>
        </w:rPr>
        <w:t xml:space="preserve"> אפנה לעניין לספרם  של שאול שוחט ודוד שאווה, </w:t>
      </w:r>
      <w:r w:rsidRPr="00AE4E0A">
        <w:rPr>
          <w:rFonts w:ascii="David" w:hAnsi="David"/>
          <w:rtl/>
        </w:rPr>
        <w:t>סדר הדין בבית משפט לענייני משפחה</w:t>
      </w:r>
      <w:r w:rsidRPr="001F1407">
        <w:rPr>
          <w:rFonts w:ascii="David" w:hAnsi="David"/>
          <w:rtl/>
        </w:rPr>
        <w:t xml:space="preserve"> (2009):</w:t>
      </w:r>
    </w:p>
    <w:p w:rsidR="004F545C" w:rsidRPr="00EF602C" w:rsidRDefault="004F545C" w:rsidP="004F545C">
      <w:pPr>
        <w:spacing w:line="360" w:lineRule="auto"/>
        <w:ind w:left="360"/>
        <w:jc w:val="both"/>
        <w:rPr>
          <w:rFonts w:ascii="David" w:hAnsi="David"/>
          <w:noProof w:val="0"/>
        </w:rPr>
      </w:pPr>
      <w:r>
        <w:rPr>
          <w:rFonts w:ascii="David" w:hAnsi="David" w:hint="cs"/>
          <w:b/>
          <w:bCs/>
          <w:rtl/>
        </w:rPr>
        <w:t>"ע</w:t>
      </w:r>
      <w:r w:rsidRPr="00EF602C">
        <w:rPr>
          <w:rFonts w:ascii="David" w:hAnsi="David"/>
          <w:b/>
          <w:bCs/>
          <w:rtl/>
        </w:rPr>
        <w:t xml:space="preserve">ל תובענה בענייני משפחה חלות הוראות מיוחדות בעניין הסמכות המקומית והן גוברות על ההוראות בעניין זה שבפרק ב' לחלק ב' לתקנות סדר הדין האזרחי, התשמ"ד - 1984 (להלן תקנות סד"א). על החשיבות המיוחדת שמחוקק המשנה מייחס לכך שתובענות בענייני משפחה יתבררו במקום השיפוט שנקבע להן, ניתן ללמוד מתקנה 258ג(ו) לתקנות סד"א המורה לבעל דין לפרט בכתב התביעה את העובדות המראות כי לבית המשפט יש סמכות מקומית לדון בתביעה. אין הוראה מקבילה, המיוחדת לעניין הסמכות המקומית, בפרק ב' </w:t>
      </w:r>
      <w:r w:rsidRPr="00EF602C">
        <w:rPr>
          <w:rFonts w:ascii="David" w:hAnsi="David"/>
          <w:b/>
          <w:bCs/>
          <w:rtl/>
        </w:rPr>
        <w:lastRenderedPageBreak/>
        <w:t>לחלק ב' לתקנות סד"א. בפרק זה נעמוד בהרחבה על החשיבות שבשמירה על כך שתובענות בענייני משפחה יתבררו על פי כללי הסמכות המקומית המיוחדים לבית המשפט לענייני משפחה ועל הביטוי שנתנו לכך המחוקק ומחוקק המשנה. לדידנו, חשיבות זו מחייבת גם את היושבים בדין בבית המשפט לענייני משפחה לראות עצמם אמונים על שמירת  כללי הסמכות  המקומית ולעורר מיזמתם את שאלת הסמכות המקומית ככל שיש מקום לכך "</w:t>
      </w:r>
      <w:r w:rsidRPr="00EF602C">
        <w:rPr>
          <w:rFonts w:ascii="David" w:hAnsi="David"/>
          <w:rtl/>
        </w:rPr>
        <w:t xml:space="preserve">(שם, עמ' 160; הדגשה </w:t>
      </w:r>
      <w:r w:rsidRPr="00EF602C">
        <w:rPr>
          <w:rFonts w:ascii="David" w:hAnsi="David" w:hint="cs"/>
          <w:rtl/>
        </w:rPr>
        <w:t>אינה</w:t>
      </w:r>
      <w:r w:rsidRPr="00EF602C">
        <w:rPr>
          <w:rFonts w:ascii="David" w:hAnsi="David"/>
          <w:rtl/>
        </w:rPr>
        <w:t xml:space="preserve"> במקור)</w:t>
      </w:r>
      <w:r w:rsidRPr="00EF602C">
        <w:rPr>
          <w:rFonts w:ascii="David" w:hAnsi="David"/>
          <w:b/>
          <w:bCs/>
          <w:rtl/>
        </w:rPr>
        <w:t>.</w:t>
      </w:r>
    </w:p>
    <w:p w:rsidR="004F545C" w:rsidRPr="001F1407" w:rsidRDefault="004F545C" w:rsidP="004F545C">
      <w:pPr>
        <w:pStyle w:val="a4"/>
        <w:spacing w:line="360" w:lineRule="auto"/>
        <w:ind w:left="360"/>
        <w:jc w:val="both"/>
        <w:rPr>
          <w:rFonts w:ascii="David" w:hAnsi="David"/>
          <w:noProof w:val="0"/>
        </w:rPr>
      </w:pPr>
    </w:p>
    <w:p w:rsidR="004F545C" w:rsidRDefault="004F545C" w:rsidP="004F545C">
      <w:pPr>
        <w:pStyle w:val="a4"/>
        <w:spacing w:line="360" w:lineRule="auto"/>
        <w:ind w:left="360"/>
        <w:jc w:val="both"/>
        <w:rPr>
          <w:rFonts w:ascii="David" w:hAnsi="David"/>
          <w:noProof w:val="0"/>
        </w:rPr>
      </w:pPr>
      <w:r w:rsidRPr="001F1407">
        <w:rPr>
          <w:rFonts w:ascii="David" w:hAnsi="David"/>
          <w:noProof w:val="0"/>
          <w:rtl/>
        </w:rPr>
        <w:t xml:space="preserve">עוד נקבע בספרם של המלומדים כי </w:t>
      </w:r>
      <w:r w:rsidRPr="001F1407">
        <w:rPr>
          <w:rFonts w:ascii="David" w:hAnsi="David"/>
          <w:b/>
          <w:bCs/>
          <w:rtl/>
        </w:rPr>
        <w:t>"...מבחינה זו ראוי שלא ליתן לכלל המתיר לבעלי הדין להתנות על הסמכות המקומית תחולה מלאה אלא להותיר לענייני משפחה שיקול דעת להעלות עניין זה מיזמתו במקרים מתאימים"</w:t>
      </w:r>
      <w:r>
        <w:rPr>
          <w:rFonts w:ascii="David" w:hAnsi="David"/>
          <w:rtl/>
        </w:rPr>
        <w:t xml:space="preserve"> (שם, עמ'161</w:t>
      </w:r>
      <w:r>
        <w:rPr>
          <w:rFonts w:ascii="David" w:hAnsi="David" w:hint="cs"/>
          <w:rtl/>
        </w:rPr>
        <w:t>; ההדגשה אינה במקור)</w:t>
      </w:r>
    </w:p>
    <w:p w:rsidR="004F545C" w:rsidRPr="001F1407" w:rsidRDefault="004F545C" w:rsidP="004F545C">
      <w:pPr>
        <w:pStyle w:val="a4"/>
        <w:rPr>
          <w:rFonts w:ascii="David" w:hAnsi="David"/>
          <w:noProof w:val="0"/>
          <w:rtl/>
        </w:rPr>
      </w:pPr>
    </w:p>
    <w:p w:rsidR="004F545C" w:rsidRDefault="004F545C" w:rsidP="004F545C">
      <w:pPr>
        <w:pStyle w:val="a4"/>
        <w:numPr>
          <w:ilvl w:val="0"/>
          <w:numId w:val="1"/>
        </w:numPr>
        <w:spacing w:line="360" w:lineRule="auto"/>
        <w:jc w:val="both"/>
        <w:rPr>
          <w:rFonts w:ascii="David" w:hAnsi="David"/>
          <w:noProof w:val="0"/>
        </w:rPr>
      </w:pPr>
      <w:r>
        <w:rPr>
          <w:rFonts w:ascii="David" w:hAnsi="David" w:hint="cs"/>
          <w:noProof w:val="0"/>
          <w:rtl/>
        </w:rPr>
        <w:t>מכאן, דין טענת הנתבע ולפיה הסמכות נתונה לבית המשפט לענייני משפחה במחוז ת"א, להידחות, והסמכות המקומית תקבע בהתאם לקבוע בחוק;  בעניינו, שעה שהתובעת והקטין מתגוררים בקרית ביאליק, ובעניין הצדדים לא התבררו כל הליכים נוספים והמדובר בתובענה ראשונה שעובר לה הצדדים לא התגוררו יחדיו, הרי שחלות הוראות תקנה 6 (א) לתקנות בית המשפט לענייני משפחה (סדרי דין), תשפ"א- 2020, (</w:t>
      </w:r>
      <w:proofErr w:type="spellStart"/>
      <w:r>
        <w:rPr>
          <w:rFonts w:ascii="David" w:hAnsi="David" w:hint="cs"/>
          <w:noProof w:val="0"/>
          <w:rtl/>
        </w:rPr>
        <w:t>להלן</w:t>
      </w:r>
      <w:r w:rsidRPr="007149D6">
        <w:rPr>
          <w:rFonts w:ascii="David" w:hAnsi="David" w:hint="cs"/>
          <w:b/>
          <w:bCs/>
          <w:noProof w:val="0"/>
          <w:rtl/>
        </w:rPr>
        <w:t>:"התקנות</w:t>
      </w:r>
      <w:proofErr w:type="spellEnd"/>
      <w:r>
        <w:rPr>
          <w:rFonts w:ascii="David" w:hAnsi="David" w:hint="cs"/>
          <w:noProof w:val="0"/>
          <w:rtl/>
        </w:rPr>
        <w:t xml:space="preserve">"), בהתאם להן </w:t>
      </w:r>
      <w:r w:rsidRPr="00936C5C">
        <w:rPr>
          <w:rFonts w:ascii="David" w:hAnsi="David" w:hint="cs"/>
          <w:noProof w:val="0"/>
          <w:u w:val="single"/>
          <w:rtl/>
        </w:rPr>
        <w:t>הסמכות נתונה לבית המשפט כאן</w:t>
      </w:r>
      <w:r>
        <w:rPr>
          <w:rFonts w:ascii="David" w:hAnsi="David" w:hint="cs"/>
          <w:noProof w:val="0"/>
          <w:rtl/>
        </w:rPr>
        <w:t xml:space="preserve">. </w:t>
      </w:r>
    </w:p>
    <w:p w:rsidR="004F545C" w:rsidRPr="00F4072B" w:rsidRDefault="004F545C" w:rsidP="004F545C">
      <w:pPr>
        <w:pStyle w:val="a4"/>
        <w:rPr>
          <w:rFonts w:ascii="David" w:hAnsi="David"/>
          <w:noProof w:val="0"/>
          <w:rtl/>
        </w:rPr>
      </w:pPr>
    </w:p>
    <w:p w:rsidR="004F545C" w:rsidRDefault="004F545C" w:rsidP="004F545C">
      <w:pPr>
        <w:pStyle w:val="a4"/>
        <w:numPr>
          <w:ilvl w:val="0"/>
          <w:numId w:val="1"/>
        </w:numPr>
        <w:spacing w:line="360" w:lineRule="auto"/>
        <w:jc w:val="both"/>
        <w:rPr>
          <w:rFonts w:ascii="David" w:hAnsi="David"/>
          <w:noProof w:val="0"/>
        </w:rPr>
      </w:pPr>
      <w:r>
        <w:rPr>
          <w:rFonts w:ascii="David" w:hAnsi="David" w:hint="cs"/>
          <w:noProof w:val="0"/>
          <w:rtl/>
        </w:rPr>
        <w:t xml:space="preserve">עוד מצאתי לדחות את טענת הנתבע להורות על המצאת כתב התביעה מחדש משלא הומצא כדין; עיון בתיק מלמד שעוד ביום 28.12.23 עתר הנתבע להורות על מחיקת התביעה משלא קדם להגשתה הליך של </w:t>
      </w:r>
      <w:proofErr w:type="spellStart"/>
      <w:r>
        <w:rPr>
          <w:rFonts w:ascii="David" w:hAnsi="David" w:hint="cs"/>
          <w:noProof w:val="0"/>
          <w:rtl/>
        </w:rPr>
        <w:t>י"ס</w:t>
      </w:r>
      <w:proofErr w:type="spellEnd"/>
      <w:r>
        <w:rPr>
          <w:rFonts w:ascii="David" w:hAnsi="David" w:hint="cs"/>
          <w:noProof w:val="0"/>
          <w:rtl/>
        </w:rPr>
        <w:t xml:space="preserve">. נהיר כי בקשה זו לא הייתה מונחת לפתחו של בית המשפט מקום בו הנתבע לא היה מקבל לידיו את כתב התביעה.  די באמור בכדי להורות על דחיית הטענה. </w:t>
      </w:r>
    </w:p>
    <w:p w:rsidR="004F545C" w:rsidRDefault="004F545C" w:rsidP="004F545C">
      <w:pPr>
        <w:pStyle w:val="a4"/>
        <w:spacing w:line="360" w:lineRule="auto"/>
        <w:ind w:left="360"/>
        <w:jc w:val="both"/>
        <w:rPr>
          <w:rFonts w:ascii="David" w:hAnsi="David"/>
          <w:noProof w:val="0"/>
        </w:rPr>
      </w:pPr>
    </w:p>
    <w:p w:rsidR="004F545C" w:rsidRDefault="004F545C" w:rsidP="004F545C">
      <w:pPr>
        <w:pStyle w:val="a4"/>
        <w:numPr>
          <w:ilvl w:val="0"/>
          <w:numId w:val="1"/>
        </w:numPr>
        <w:spacing w:line="360" w:lineRule="auto"/>
        <w:jc w:val="both"/>
        <w:rPr>
          <w:rFonts w:ascii="David" w:hAnsi="David"/>
          <w:noProof w:val="0"/>
        </w:rPr>
      </w:pPr>
      <w:r>
        <w:rPr>
          <w:rFonts w:ascii="David" w:hAnsi="David" w:hint="cs"/>
          <w:noProof w:val="0"/>
          <w:rtl/>
        </w:rPr>
        <w:t xml:space="preserve">ומבלי לפגוע באמור לעיל;  ביום 4.1.24, התקבלה בקשת הנתבע באופן בו נקבע שעובר לדיון בתביעה לגופה, יופנו הצדדים להליך של </w:t>
      </w:r>
      <w:proofErr w:type="spellStart"/>
      <w:r>
        <w:rPr>
          <w:rFonts w:ascii="David" w:hAnsi="David" w:hint="cs"/>
          <w:noProof w:val="0"/>
          <w:rtl/>
        </w:rPr>
        <w:t>י"ס</w:t>
      </w:r>
      <w:proofErr w:type="spellEnd"/>
      <w:r>
        <w:rPr>
          <w:rFonts w:ascii="David" w:hAnsi="David" w:hint="cs"/>
          <w:noProof w:val="0"/>
          <w:rtl/>
        </w:rPr>
        <w:t xml:space="preserve">; ביום 14.2.24 נסגר הליך </w:t>
      </w:r>
      <w:proofErr w:type="spellStart"/>
      <w:r>
        <w:rPr>
          <w:rFonts w:ascii="David" w:hAnsi="David" w:hint="cs"/>
          <w:noProof w:val="0"/>
          <w:rtl/>
        </w:rPr>
        <w:t>י"ס</w:t>
      </w:r>
      <w:proofErr w:type="spellEnd"/>
      <w:r>
        <w:rPr>
          <w:rFonts w:ascii="David" w:hAnsi="David" w:hint="cs"/>
          <w:noProof w:val="0"/>
          <w:rtl/>
        </w:rPr>
        <w:t xml:space="preserve">; ביום 10.3.24 הוגש לתיק אישור מסירה המלמד שביום 27.2.24 הומצא כתב התביעה לנתבע כדין, וזאת בהתאם להוראות החלטתי מיום 21.2.24.  מכאן, </w:t>
      </w:r>
      <w:r w:rsidRPr="00936C5C">
        <w:rPr>
          <w:rFonts w:ascii="David" w:hAnsi="David" w:hint="cs"/>
          <w:noProof w:val="0"/>
          <w:u w:val="single"/>
          <w:rtl/>
        </w:rPr>
        <w:t>מצאתי לקבוע שהנתבע זומן כדין</w:t>
      </w:r>
      <w:r>
        <w:rPr>
          <w:rFonts w:ascii="David" w:hAnsi="David" w:hint="cs"/>
          <w:noProof w:val="0"/>
          <w:rtl/>
        </w:rPr>
        <w:t>.</w:t>
      </w:r>
    </w:p>
    <w:p w:rsidR="004F545C" w:rsidRPr="00CA0064" w:rsidRDefault="004F545C" w:rsidP="004F545C">
      <w:pPr>
        <w:pStyle w:val="a4"/>
        <w:rPr>
          <w:rFonts w:ascii="David" w:hAnsi="David"/>
          <w:noProof w:val="0"/>
          <w:rtl/>
        </w:rPr>
      </w:pPr>
    </w:p>
    <w:p w:rsidR="004F545C" w:rsidRDefault="004F545C" w:rsidP="004F545C">
      <w:pPr>
        <w:pStyle w:val="a4"/>
        <w:numPr>
          <w:ilvl w:val="0"/>
          <w:numId w:val="1"/>
        </w:numPr>
        <w:spacing w:line="360" w:lineRule="auto"/>
        <w:jc w:val="both"/>
        <w:rPr>
          <w:rFonts w:ascii="David" w:hAnsi="David"/>
        </w:rPr>
      </w:pPr>
      <w:r>
        <w:rPr>
          <w:rFonts w:ascii="David" w:hAnsi="David" w:hint="cs"/>
          <w:noProof w:val="0"/>
          <w:rtl/>
        </w:rPr>
        <w:t xml:space="preserve">כמו כן, </w:t>
      </w:r>
      <w:r w:rsidRPr="00936C5C">
        <w:rPr>
          <w:rFonts w:ascii="David" w:hAnsi="David" w:hint="cs"/>
          <w:noProof w:val="0"/>
          <w:u w:val="single"/>
          <w:rtl/>
        </w:rPr>
        <w:t>לא מצאתי לעכב את הוראות החלטתי עד להגשת כתב הגנה</w:t>
      </w:r>
      <w:r>
        <w:rPr>
          <w:rFonts w:ascii="David" w:hAnsi="David" w:hint="cs"/>
          <w:noProof w:val="0"/>
          <w:rtl/>
        </w:rPr>
        <w:t>. אכן; בהתאם לסעיף 13 לתקנות, כתב הגנה יוגש תוך 30 ימים מיום ההמצאה, קרי עד ליום 27.3.24</w:t>
      </w:r>
      <w:r>
        <w:rPr>
          <w:rFonts w:ascii="David" w:hAnsi="David" w:hint="cs"/>
          <w:b/>
          <w:bCs/>
          <w:rtl/>
        </w:rPr>
        <w:t xml:space="preserve">, </w:t>
      </w:r>
      <w:r w:rsidRPr="002D6FCA">
        <w:rPr>
          <w:rFonts w:ascii="David" w:hAnsi="David" w:hint="cs"/>
          <w:rtl/>
        </w:rPr>
        <w:t>בעוד ההחלטה ניתנה ביום 25.3.24 כי</w:t>
      </w:r>
      <w:r>
        <w:rPr>
          <w:rFonts w:ascii="David" w:hAnsi="David" w:hint="cs"/>
          <w:rtl/>
        </w:rPr>
        <w:t>ומיים עובר למועד הקבוע</w:t>
      </w:r>
      <w:r w:rsidRPr="002D6FCA">
        <w:rPr>
          <w:rFonts w:ascii="David" w:hAnsi="David" w:hint="cs"/>
          <w:rtl/>
        </w:rPr>
        <w:t xml:space="preserve">. </w:t>
      </w:r>
      <w:r>
        <w:rPr>
          <w:rFonts w:ascii="David" w:hAnsi="David" w:hint="cs"/>
          <w:rtl/>
        </w:rPr>
        <w:t>ואולם, אין חולק שנכון להיום (2.4.24)  חלף המועד הקבוע בדין להגשת כתב הגנה. מעיון בתיק עולה שלא הוגשה כל בקשה לארכה בהגשת כתב הגנה כמו גם לא ניתנה כל החלטה המאריכה את המועד להגשתו. הועבדה שהוגשה בקשה לעיון מחדש בהחלטה, אין בה בכדי לעצור את מניין הימים הקבוע בחוק, מקום בו לא ניתנה כל החלטה המורה כן. מכאן, מקום בו המועד להגשת כתב ההגנה חלף, וזה לא הוגש, ועת מצאתי לקבוע שכתב התביעה הומצאה כדין, הרי שלא נפגעו זכויות הנתבע בכך שההחלטה ניתנה יומיים עובר למועד הקבוע. כמו כן, משלא הוצג בבקשה כל נימוק הדורש הארכת מועד להגשת כתב הגנה שהומצא כדין, ומקום בו לא הוגשה בקשה לעניין זה, לא מצאתי להורות על הארכת המועד להגשת כתב הגנה.</w:t>
      </w:r>
    </w:p>
    <w:p w:rsidR="004F545C" w:rsidRPr="002D6FCA" w:rsidRDefault="004F545C" w:rsidP="004F545C">
      <w:pPr>
        <w:pStyle w:val="a4"/>
        <w:rPr>
          <w:rFonts w:ascii="David" w:hAnsi="David"/>
          <w:rtl/>
        </w:rPr>
      </w:pPr>
    </w:p>
    <w:p w:rsidR="004F545C" w:rsidRDefault="004F545C" w:rsidP="004F545C">
      <w:pPr>
        <w:pStyle w:val="a4"/>
        <w:numPr>
          <w:ilvl w:val="0"/>
          <w:numId w:val="1"/>
        </w:numPr>
        <w:spacing w:line="360" w:lineRule="auto"/>
        <w:jc w:val="both"/>
        <w:rPr>
          <w:rFonts w:ascii="David" w:hAnsi="David"/>
        </w:rPr>
      </w:pPr>
      <w:r>
        <w:rPr>
          <w:rFonts w:ascii="David" w:hAnsi="David" w:hint="cs"/>
          <w:rtl/>
        </w:rPr>
        <w:lastRenderedPageBreak/>
        <w:t>מכל האמור לעיל,  אני מורה על דחיית הבקשה לעיון מחדש. הוראות החלטתי מיום 25.3.24 יעמדו בתוקפן, במלואן.</w:t>
      </w:r>
    </w:p>
    <w:p w:rsidR="004F545C" w:rsidRPr="00AB6326" w:rsidRDefault="004F545C" w:rsidP="004F545C">
      <w:pPr>
        <w:pStyle w:val="a4"/>
        <w:rPr>
          <w:rFonts w:ascii="David" w:hAnsi="David"/>
          <w:rtl/>
        </w:rPr>
      </w:pPr>
    </w:p>
    <w:p w:rsidR="004F545C" w:rsidRDefault="004F545C" w:rsidP="004F545C">
      <w:pPr>
        <w:pStyle w:val="a4"/>
        <w:numPr>
          <w:ilvl w:val="0"/>
          <w:numId w:val="1"/>
        </w:numPr>
        <w:spacing w:line="360" w:lineRule="auto"/>
        <w:jc w:val="both"/>
        <w:rPr>
          <w:rFonts w:ascii="David" w:hAnsi="David"/>
        </w:rPr>
      </w:pPr>
      <w:r>
        <w:rPr>
          <w:rFonts w:ascii="David" w:hAnsi="David" w:hint="cs"/>
          <w:rtl/>
        </w:rPr>
        <w:t>הנתבע יישא בהוצאות התובעת בגין בקשה זו בסך 1,500 ₪ אשר ישולמו תוך 30 ימים מהיום ללא כל קשר עם תוצאות התביעה לגופה.</w:t>
      </w:r>
    </w:p>
    <w:p w:rsidR="004F545C" w:rsidRPr="00AB6326" w:rsidRDefault="004F545C" w:rsidP="004F545C">
      <w:pPr>
        <w:pStyle w:val="a4"/>
        <w:rPr>
          <w:rFonts w:ascii="David" w:hAnsi="David"/>
          <w:rtl/>
        </w:rPr>
      </w:pPr>
    </w:p>
    <w:p w:rsidR="004F545C" w:rsidRDefault="004F545C" w:rsidP="004F545C">
      <w:pPr>
        <w:spacing w:line="360" w:lineRule="auto"/>
        <w:jc w:val="both"/>
        <w:rPr>
          <w:rFonts w:ascii="David" w:hAnsi="David"/>
          <w:b/>
          <w:bCs/>
          <w:u w:val="single"/>
          <w:rtl/>
        </w:rPr>
      </w:pPr>
    </w:p>
    <w:p w:rsidR="004F545C" w:rsidRDefault="004F545C" w:rsidP="004F545C">
      <w:pPr>
        <w:spacing w:line="360" w:lineRule="auto"/>
        <w:jc w:val="both"/>
        <w:rPr>
          <w:rFonts w:ascii="David" w:hAnsi="David"/>
          <w:b/>
          <w:bCs/>
          <w:u w:val="single"/>
          <w:rtl/>
        </w:rPr>
      </w:pPr>
    </w:p>
    <w:p w:rsidR="004F545C" w:rsidRPr="00AB6326" w:rsidRDefault="004F545C" w:rsidP="004F545C">
      <w:pPr>
        <w:spacing w:line="360" w:lineRule="auto"/>
        <w:jc w:val="both"/>
        <w:rPr>
          <w:rFonts w:ascii="David" w:hAnsi="David"/>
          <w:rtl/>
        </w:rPr>
      </w:pPr>
      <w:r w:rsidRPr="00AB6326">
        <w:rPr>
          <w:rFonts w:ascii="David" w:hAnsi="David" w:hint="cs"/>
          <w:b/>
          <w:bCs/>
          <w:u w:val="single"/>
          <w:rtl/>
        </w:rPr>
        <w:t>המזכירות</w:t>
      </w:r>
      <w:r>
        <w:rPr>
          <w:rFonts w:ascii="David" w:hAnsi="David" w:hint="cs"/>
          <w:rtl/>
        </w:rPr>
        <w:t xml:space="preserve"> תמציא לצדדים. </w:t>
      </w:r>
    </w:p>
    <w:p w:rsidR="004F545C" w:rsidRPr="002D6FCA" w:rsidRDefault="004F545C" w:rsidP="004F545C">
      <w:pPr>
        <w:spacing w:line="360" w:lineRule="auto"/>
        <w:jc w:val="both"/>
        <w:rPr>
          <w:rFonts w:ascii="David" w:hAnsi="David"/>
          <w:noProof w:val="0"/>
          <w:rtl/>
        </w:rPr>
      </w:pPr>
    </w:p>
    <w:p w:rsidR="004F545C" w:rsidRPr="001F1407" w:rsidRDefault="004F545C" w:rsidP="004F545C">
      <w:pPr>
        <w:spacing w:line="360" w:lineRule="auto"/>
        <w:jc w:val="both"/>
        <w:rPr>
          <w:rFonts w:ascii="David" w:hAnsi="David"/>
          <w:noProof w:val="0"/>
          <w:rtl/>
        </w:rPr>
      </w:pPr>
    </w:p>
    <w:p w:rsidR="004F545C" w:rsidRPr="001F1407" w:rsidRDefault="004F545C" w:rsidP="004F545C">
      <w:pPr>
        <w:spacing w:line="360" w:lineRule="auto"/>
        <w:jc w:val="both"/>
        <w:rPr>
          <w:rFonts w:ascii="David" w:hAnsi="David"/>
          <w:noProof w:val="0"/>
          <w:rtl/>
        </w:rPr>
      </w:pPr>
    </w:p>
    <w:p w:rsidR="004F545C" w:rsidRPr="00DE1E7D" w:rsidRDefault="004F545C" w:rsidP="004F545C">
      <w:pPr>
        <w:spacing w:line="360" w:lineRule="auto"/>
        <w:jc w:val="both"/>
        <w:rPr>
          <w:rFonts w:ascii="Arial" w:hAnsi="Arial"/>
          <w:noProof w:val="0"/>
          <w:rtl/>
        </w:rPr>
      </w:pPr>
    </w:p>
    <w:p w:rsidR="004F545C" w:rsidRPr="00DE1E7D" w:rsidRDefault="004F545C" w:rsidP="004F545C">
      <w:pPr>
        <w:spacing w:line="360" w:lineRule="auto"/>
        <w:jc w:val="both"/>
        <w:rPr>
          <w:rFonts w:ascii="Arial" w:hAnsi="Arial"/>
          <w:noProof w:val="0"/>
          <w:rtl/>
        </w:rPr>
      </w:pPr>
    </w:p>
    <w:p w:rsidR="004F545C" w:rsidRDefault="004F545C" w:rsidP="004F545C">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אדר ב'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31 מרץ 2024</w:t>
          </w:r>
        </w:sdtContent>
      </w:sdt>
      <w:r>
        <w:rPr>
          <w:rFonts w:ascii="Arial" w:hAnsi="Arial"/>
          <w:noProof w:val="0"/>
          <w:rtl/>
        </w:rPr>
        <w:t>, בהעדר הצדדים.</w:t>
      </w:r>
    </w:p>
    <w:p w:rsidR="004F545C" w:rsidRDefault="00457558" w:rsidP="004F545C">
      <w:pPr>
        <w:tabs>
          <w:tab w:val="left" w:pos="2553"/>
        </w:tabs>
        <w:ind w:left="5040"/>
        <w:rPr>
          <w:rtl/>
        </w:rPr>
      </w:pPr>
      <w:sdt>
        <w:sdtPr>
          <w:rPr>
            <w:rFonts w:hint="cs"/>
            <w:rtl/>
          </w:rPr>
          <w:alias w:val="2045"/>
          <w:tag w:val="2045"/>
          <w:id w:val="740689340"/>
          <w:placeholder>
            <w:docPart w:val="AFC07894DC184C07A03586640BB9FDFD"/>
          </w:placeholder>
          <w:showingPlcHdr/>
          <w:text w:multiLine="1"/>
        </w:sdtPr>
        <w:sdtEndPr/>
        <w:sdtContent>
          <w:r w:rsidR="004F545C">
            <w:rPr>
              <w:rFonts w:hint="cs"/>
              <w:rtl/>
            </w:rPr>
            <w:t xml:space="preserve">     </w:t>
          </w:r>
        </w:sdtContent>
      </w:sdt>
    </w:p>
    <w:p w:rsidR="004F545C" w:rsidRDefault="004F545C" w:rsidP="004F545C">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sdt>
        <w:sdtPr>
          <w:rPr>
            <w:rtl/>
          </w:rPr>
          <w:alias w:val="1237"/>
          <w:tag w:val="1237"/>
          <w:id w:val="1177927602"/>
          <w:text w:multiLine="1"/>
        </w:sdtPr>
        <w:sdtEndPr/>
        <w:sdtContent>
          <w:r>
            <w:rPr>
              <w:rFonts w:ascii="Arial" w:hAnsi="Arial"/>
              <w:noProof w:val="0"/>
              <w:rtl/>
            </w:rPr>
            <w:t>חתימה</w:t>
          </w:r>
        </w:sdtContent>
      </w:sdt>
    </w:p>
    <w:p w:rsidR="0099635D" w:rsidRDefault="0099635D"/>
    <w:sectPr w:rsidR="0099635D" w:rsidSect="003B182D">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D01456"/>
    <w:multiLevelType w:val="hybridMultilevel"/>
    <w:tmpl w:val="949A44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45C"/>
    <w:rsid w:val="003A769C"/>
    <w:rsid w:val="003B182D"/>
    <w:rsid w:val="00457558"/>
    <w:rsid w:val="004F545C"/>
    <w:rsid w:val="0099635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6DDF12-35DC-48A8-B656-DDD8E2C78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45C"/>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F545C"/>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F54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801469">
      <w:bodyDiv w:val="1"/>
      <w:marLeft w:val="0"/>
      <w:marRight w:val="0"/>
      <w:marTop w:val="0"/>
      <w:marBottom w:val="0"/>
      <w:divBdr>
        <w:top w:val="none" w:sz="0" w:space="0" w:color="auto"/>
        <w:left w:val="none" w:sz="0" w:space="0" w:color="auto"/>
        <w:bottom w:val="none" w:sz="0" w:space="0" w:color="auto"/>
        <w:right w:val="none" w:sz="0" w:space="0" w:color="auto"/>
      </w:divBdr>
    </w:div>
    <w:div w:id="141435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1E2156BF52A44AA8196D9EB450AEF69"/>
        <w:category>
          <w:name w:val="כללי"/>
          <w:gallery w:val="placeholder"/>
        </w:category>
        <w:types>
          <w:type w:val="bbPlcHdr"/>
        </w:types>
        <w:behaviors>
          <w:behavior w:val="content"/>
        </w:behaviors>
        <w:guid w:val="{D63266DE-F724-4CF9-B161-135578410C1F}"/>
      </w:docPartPr>
      <w:docPartBody>
        <w:p w:rsidR="008F3B70" w:rsidRDefault="004F41D8" w:rsidP="004F41D8">
          <w:pPr>
            <w:pStyle w:val="F1E2156BF52A44AA8196D9EB450AEF69"/>
          </w:pPr>
          <w:r w:rsidRPr="00E54CD9">
            <w:rPr>
              <w:rFonts w:ascii="Arial" w:hAnsi="Arial" w:hint="eastAsia"/>
              <w:b/>
              <w:bCs/>
              <w:sz w:val="26"/>
              <w:szCs w:val="26"/>
              <w:rtl/>
            </w:rPr>
            <w:t>סוג</w:t>
          </w:r>
          <w:r w:rsidRPr="00E54CD9">
            <w:rPr>
              <w:rFonts w:ascii="Arial" w:hAnsi="Arial"/>
              <w:b/>
              <w:bCs/>
              <w:sz w:val="26"/>
              <w:szCs w:val="26"/>
              <w:rtl/>
            </w:rPr>
            <w:t xml:space="preserve"> זיהוי צד ב'</w:t>
          </w:r>
        </w:p>
      </w:docPartBody>
    </w:docPart>
    <w:docPart>
      <w:docPartPr>
        <w:name w:val="ACA932E349D34D8B8888DE83F34D3888"/>
        <w:category>
          <w:name w:val="כללי"/>
          <w:gallery w:val="placeholder"/>
        </w:category>
        <w:types>
          <w:type w:val="bbPlcHdr"/>
        </w:types>
        <w:behaviors>
          <w:behavior w:val="content"/>
        </w:behaviors>
        <w:guid w:val="{C2506F3D-33DD-45A2-91F2-13683E333385}"/>
      </w:docPartPr>
      <w:docPartBody>
        <w:p w:rsidR="008F3B70" w:rsidRDefault="004F41D8" w:rsidP="004F41D8">
          <w:pPr>
            <w:pStyle w:val="ACA932E349D34D8B8888DE83F34D3888"/>
          </w:pPr>
          <w:r w:rsidRPr="00E54CD9">
            <w:rPr>
              <w:rFonts w:ascii="Arial" w:hAnsi="Arial" w:hint="eastAsia"/>
              <w:b/>
              <w:bCs/>
              <w:sz w:val="26"/>
              <w:szCs w:val="26"/>
              <w:rtl/>
            </w:rPr>
            <w:t>מספר</w:t>
          </w:r>
          <w:r w:rsidRPr="00E54CD9">
            <w:rPr>
              <w:rFonts w:ascii="Arial" w:hAnsi="Arial"/>
              <w:b/>
              <w:bCs/>
              <w:sz w:val="26"/>
              <w:szCs w:val="26"/>
              <w:rtl/>
            </w:rPr>
            <w:t xml:space="preserve"> זיהוי צד ב'</w:t>
          </w:r>
        </w:p>
      </w:docPartBody>
    </w:docPart>
    <w:docPart>
      <w:docPartPr>
        <w:name w:val="AFC07894DC184C07A03586640BB9FDFD"/>
        <w:category>
          <w:name w:val="כללי"/>
          <w:gallery w:val="placeholder"/>
        </w:category>
        <w:types>
          <w:type w:val="bbPlcHdr"/>
        </w:types>
        <w:behaviors>
          <w:behavior w:val="content"/>
        </w:behaviors>
        <w:guid w:val="{B81597C3-A7B2-4550-8F51-9D90CC1BA64D}"/>
      </w:docPartPr>
      <w:docPartBody>
        <w:p w:rsidR="008F3B70" w:rsidRDefault="004F41D8" w:rsidP="004F41D8">
          <w:pPr>
            <w:pStyle w:val="AFC07894DC184C07A03586640BB9FDFD"/>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1D8"/>
    <w:rsid w:val="00475B05"/>
    <w:rsid w:val="004F41D8"/>
    <w:rsid w:val="008F3B7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1E2156BF52A44AA8196D9EB450AEF69">
    <w:name w:val="F1E2156BF52A44AA8196D9EB450AEF69"/>
    <w:rsid w:val="004F41D8"/>
    <w:pPr>
      <w:bidi/>
    </w:pPr>
  </w:style>
  <w:style w:type="paragraph" w:customStyle="1" w:styleId="ACA932E349D34D8B8888DE83F34D3888">
    <w:name w:val="ACA932E349D34D8B8888DE83F34D3888"/>
    <w:rsid w:val="004F41D8"/>
    <w:pPr>
      <w:bidi/>
    </w:pPr>
  </w:style>
  <w:style w:type="paragraph" w:customStyle="1" w:styleId="AFC07894DC184C07A03586640BB9FDFD">
    <w:name w:val="AFC07894DC184C07A03586640BB9FDFD"/>
    <w:rsid w:val="004F41D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753</Words>
  <Characters>3768</Characters>
  <Application>Microsoft Office Word</Application>
  <DocSecurity>0</DocSecurity>
  <Lines>31</Lines>
  <Paragraphs>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דהן חיון</dc:creator>
  <cp:keywords/>
  <dc:description/>
  <cp:lastModifiedBy>אסתר טטרואשילי</cp:lastModifiedBy>
  <cp:revision>2</cp:revision>
  <dcterms:created xsi:type="dcterms:W3CDTF">2024-12-05T06:29:00Z</dcterms:created>
  <dcterms:modified xsi:type="dcterms:W3CDTF">2024-12-05T06:29:00Z</dcterms:modified>
</cp:coreProperties>
</file>